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8F" w:rsidRDefault="000939F3" w:rsidP="00BE739D">
      <w:pPr>
        <w:spacing w:beforeLines="50" w:afterLines="100"/>
        <w:jc w:val="center"/>
        <w:rPr>
          <w:rFonts w:ascii="宋体" w:eastAsia="宋体" w:hAnsi="宋体"/>
          <w:b/>
          <w:sz w:val="32"/>
        </w:rPr>
      </w:pPr>
      <w:r>
        <w:rPr>
          <w:rFonts w:ascii="宋体" w:eastAsia="宋体" w:hAnsi="宋体" w:hint="eastAsia"/>
          <w:b/>
          <w:sz w:val="32"/>
        </w:rPr>
        <w:t>2</w:t>
      </w:r>
      <w:r>
        <w:rPr>
          <w:rFonts w:ascii="宋体" w:eastAsia="宋体" w:hAnsi="宋体"/>
          <w:b/>
          <w:sz w:val="32"/>
        </w:rPr>
        <w:t>024</w:t>
      </w:r>
      <w:r>
        <w:rPr>
          <w:rFonts w:ascii="宋体" w:eastAsia="宋体" w:hAnsi="宋体" w:hint="eastAsia"/>
          <w:b/>
          <w:sz w:val="32"/>
        </w:rPr>
        <w:t>年</w:t>
      </w:r>
      <w:r>
        <w:rPr>
          <w:rFonts w:ascii="宋体" w:eastAsia="宋体" w:hAnsi="宋体" w:hint="eastAsia"/>
          <w:b/>
          <w:sz w:val="32"/>
        </w:rPr>
        <w:t>外国语学院</w:t>
      </w:r>
      <w:r>
        <w:rPr>
          <w:rFonts w:ascii="宋体" w:eastAsia="宋体" w:hAnsi="宋体" w:hint="eastAsia"/>
          <w:b/>
          <w:sz w:val="32"/>
        </w:rPr>
        <w:t>硕士研究生调剂复试公告</w:t>
      </w:r>
    </w:p>
    <w:p w:rsidR="0003208F" w:rsidRDefault="000939F3" w:rsidP="00BE739D">
      <w:pPr>
        <w:spacing w:afterLines="50"/>
        <w:rPr>
          <w:rFonts w:ascii="宋体" w:eastAsia="宋体" w:hAnsi="宋体"/>
          <w:b/>
          <w:sz w:val="24"/>
        </w:rPr>
      </w:pPr>
      <w:r>
        <w:rPr>
          <w:rFonts w:ascii="宋体" w:eastAsia="宋体" w:hAnsi="宋体" w:hint="eastAsia"/>
          <w:b/>
          <w:sz w:val="24"/>
        </w:rPr>
        <w:t>一、接收调剂专业及名额</w:t>
      </w:r>
    </w:p>
    <w:tbl>
      <w:tblPr>
        <w:tblStyle w:val="a6"/>
        <w:tblW w:w="0" w:type="auto"/>
        <w:tblInd w:w="-5" w:type="dxa"/>
        <w:tblLook w:val="04A0"/>
      </w:tblPr>
      <w:tblGrid>
        <w:gridCol w:w="1185"/>
        <w:gridCol w:w="2501"/>
        <w:gridCol w:w="1185"/>
        <w:gridCol w:w="1185"/>
        <w:gridCol w:w="1882"/>
      </w:tblGrid>
      <w:tr w:rsidR="0003208F">
        <w:tc>
          <w:tcPr>
            <w:tcW w:w="1185" w:type="dxa"/>
            <w:shd w:val="clear" w:color="auto" w:fill="BFBFBF" w:themeFill="background1" w:themeFillShade="BF"/>
            <w:vAlign w:val="center"/>
          </w:tcPr>
          <w:p w:rsidR="0003208F" w:rsidRDefault="000939F3">
            <w:pPr>
              <w:jc w:val="center"/>
              <w:rPr>
                <w:rFonts w:ascii="仿宋" w:eastAsia="仿宋" w:hAnsi="仿宋"/>
                <w:b/>
                <w:sz w:val="24"/>
                <w:szCs w:val="24"/>
              </w:rPr>
            </w:pPr>
            <w:r>
              <w:rPr>
                <w:rFonts w:ascii="仿宋" w:eastAsia="仿宋" w:hAnsi="仿宋" w:hint="eastAsia"/>
                <w:b/>
                <w:sz w:val="24"/>
                <w:szCs w:val="24"/>
              </w:rPr>
              <w:t>专业代码</w:t>
            </w:r>
          </w:p>
        </w:tc>
        <w:tc>
          <w:tcPr>
            <w:tcW w:w="2501" w:type="dxa"/>
            <w:shd w:val="clear" w:color="auto" w:fill="BFBFBF" w:themeFill="background1" w:themeFillShade="BF"/>
            <w:vAlign w:val="center"/>
          </w:tcPr>
          <w:p w:rsidR="0003208F" w:rsidRDefault="000939F3">
            <w:pPr>
              <w:jc w:val="center"/>
              <w:rPr>
                <w:rFonts w:ascii="仿宋" w:eastAsia="仿宋" w:hAnsi="仿宋"/>
                <w:b/>
                <w:sz w:val="24"/>
                <w:szCs w:val="24"/>
              </w:rPr>
            </w:pPr>
            <w:r>
              <w:rPr>
                <w:rFonts w:ascii="仿宋" w:eastAsia="仿宋" w:hAnsi="仿宋" w:hint="eastAsia"/>
                <w:b/>
                <w:sz w:val="24"/>
                <w:szCs w:val="24"/>
              </w:rPr>
              <w:t>专业名称</w:t>
            </w:r>
          </w:p>
        </w:tc>
        <w:tc>
          <w:tcPr>
            <w:tcW w:w="1185" w:type="dxa"/>
            <w:shd w:val="clear" w:color="auto" w:fill="BFBFBF" w:themeFill="background1" w:themeFillShade="BF"/>
            <w:vAlign w:val="center"/>
          </w:tcPr>
          <w:p w:rsidR="0003208F" w:rsidRDefault="000939F3">
            <w:pPr>
              <w:jc w:val="center"/>
              <w:rPr>
                <w:rFonts w:ascii="仿宋" w:eastAsia="仿宋" w:hAnsi="仿宋"/>
                <w:b/>
                <w:sz w:val="24"/>
                <w:szCs w:val="24"/>
              </w:rPr>
            </w:pPr>
            <w:r>
              <w:rPr>
                <w:rFonts w:ascii="仿宋" w:eastAsia="仿宋" w:hAnsi="仿宋" w:hint="eastAsia"/>
                <w:b/>
                <w:sz w:val="24"/>
                <w:szCs w:val="24"/>
              </w:rPr>
              <w:t>学位类别</w:t>
            </w:r>
          </w:p>
        </w:tc>
        <w:tc>
          <w:tcPr>
            <w:tcW w:w="1185" w:type="dxa"/>
            <w:shd w:val="clear" w:color="auto" w:fill="BFBFBF" w:themeFill="background1" w:themeFillShade="BF"/>
            <w:vAlign w:val="center"/>
          </w:tcPr>
          <w:p w:rsidR="0003208F" w:rsidRDefault="000939F3">
            <w:pPr>
              <w:jc w:val="center"/>
              <w:rPr>
                <w:rFonts w:ascii="仿宋" w:eastAsia="仿宋" w:hAnsi="仿宋"/>
                <w:b/>
                <w:sz w:val="24"/>
                <w:szCs w:val="24"/>
              </w:rPr>
            </w:pPr>
            <w:r>
              <w:rPr>
                <w:rFonts w:ascii="仿宋" w:eastAsia="仿宋" w:hAnsi="仿宋" w:hint="eastAsia"/>
                <w:b/>
                <w:sz w:val="24"/>
                <w:szCs w:val="24"/>
              </w:rPr>
              <w:t>学习形式</w:t>
            </w:r>
          </w:p>
        </w:tc>
        <w:tc>
          <w:tcPr>
            <w:tcW w:w="1882" w:type="dxa"/>
            <w:shd w:val="clear" w:color="auto" w:fill="BFBFBF" w:themeFill="background1" w:themeFillShade="BF"/>
            <w:vAlign w:val="center"/>
          </w:tcPr>
          <w:p w:rsidR="0003208F" w:rsidRDefault="000939F3">
            <w:pPr>
              <w:jc w:val="center"/>
              <w:rPr>
                <w:rFonts w:ascii="仿宋" w:eastAsia="仿宋" w:hAnsi="仿宋"/>
                <w:b/>
                <w:sz w:val="24"/>
                <w:szCs w:val="24"/>
              </w:rPr>
            </w:pPr>
            <w:r>
              <w:rPr>
                <w:rFonts w:ascii="仿宋" w:eastAsia="仿宋" w:hAnsi="仿宋" w:hint="eastAsia"/>
                <w:b/>
                <w:sz w:val="24"/>
                <w:szCs w:val="24"/>
              </w:rPr>
              <w:t>调剂名额</w:t>
            </w:r>
          </w:p>
        </w:tc>
      </w:tr>
      <w:tr w:rsidR="0003208F">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050201</w:t>
            </w:r>
          </w:p>
        </w:tc>
        <w:tc>
          <w:tcPr>
            <w:tcW w:w="2501"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英语语言文学</w:t>
            </w:r>
          </w:p>
        </w:tc>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学术型</w:t>
            </w:r>
          </w:p>
        </w:tc>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全日制</w:t>
            </w:r>
          </w:p>
        </w:tc>
        <w:tc>
          <w:tcPr>
            <w:tcW w:w="1882"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12</w:t>
            </w:r>
          </w:p>
        </w:tc>
      </w:tr>
      <w:tr w:rsidR="0003208F">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050211</w:t>
            </w:r>
          </w:p>
        </w:tc>
        <w:tc>
          <w:tcPr>
            <w:tcW w:w="2501"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外国语言学及</w:t>
            </w:r>
          </w:p>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应用语言学</w:t>
            </w:r>
          </w:p>
        </w:tc>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学术型</w:t>
            </w:r>
          </w:p>
        </w:tc>
        <w:tc>
          <w:tcPr>
            <w:tcW w:w="1185" w:type="dxa"/>
            <w:vAlign w:val="center"/>
          </w:tcPr>
          <w:p w:rsidR="0003208F" w:rsidRDefault="000939F3">
            <w:pPr>
              <w:widowControl/>
              <w:adjustRightInd w:val="0"/>
              <w:snapToGrid w:val="0"/>
              <w:jc w:val="center"/>
              <w:rPr>
                <w:rFonts w:ascii="宋体" w:hAnsi="宋体"/>
                <w:color w:val="333333"/>
                <w:sz w:val="28"/>
                <w:szCs w:val="28"/>
              </w:rPr>
            </w:pPr>
            <w:r>
              <w:rPr>
                <w:rFonts w:ascii="宋体" w:hAnsi="宋体" w:hint="eastAsia"/>
                <w:color w:val="333333"/>
                <w:sz w:val="28"/>
                <w:szCs w:val="28"/>
              </w:rPr>
              <w:t>全日制</w:t>
            </w:r>
          </w:p>
        </w:tc>
        <w:tc>
          <w:tcPr>
            <w:tcW w:w="1882"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9</w:t>
            </w:r>
          </w:p>
        </w:tc>
      </w:tr>
      <w:tr w:rsidR="0003208F">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0502Z1</w:t>
            </w:r>
          </w:p>
        </w:tc>
        <w:tc>
          <w:tcPr>
            <w:tcW w:w="2501"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跨文化研究</w:t>
            </w:r>
          </w:p>
        </w:tc>
        <w:tc>
          <w:tcPr>
            <w:tcW w:w="1185"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学术型</w:t>
            </w:r>
          </w:p>
        </w:tc>
        <w:tc>
          <w:tcPr>
            <w:tcW w:w="1185" w:type="dxa"/>
            <w:vAlign w:val="center"/>
          </w:tcPr>
          <w:p w:rsidR="0003208F" w:rsidRDefault="000939F3">
            <w:pPr>
              <w:widowControl/>
              <w:adjustRightInd w:val="0"/>
              <w:snapToGrid w:val="0"/>
              <w:jc w:val="center"/>
              <w:rPr>
                <w:rFonts w:ascii="宋体" w:hAnsi="宋体"/>
                <w:color w:val="333333"/>
                <w:sz w:val="28"/>
                <w:szCs w:val="28"/>
              </w:rPr>
            </w:pPr>
            <w:r>
              <w:rPr>
                <w:rFonts w:ascii="宋体" w:hAnsi="宋体" w:hint="eastAsia"/>
                <w:color w:val="333333"/>
                <w:sz w:val="28"/>
                <w:szCs w:val="28"/>
              </w:rPr>
              <w:t>全日制</w:t>
            </w:r>
          </w:p>
        </w:tc>
        <w:tc>
          <w:tcPr>
            <w:tcW w:w="1882" w:type="dxa"/>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1</w:t>
            </w:r>
          </w:p>
        </w:tc>
      </w:tr>
      <w:tr w:rsidR="0003208F">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055102</w:t>
            </w:r>
          </w:p>
        </w:tc>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英语口译</w:t>
            </w:r>
          </w:p>
        </w:tc>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专业型</w:t>
            </w:r>
          </w:p>
        </w:tc>
        <w:tc>
          <w:tcPr>
            <w:tcW w:w="0" w:type="auto"/>
            <w:vAlign w:val="center"/>
          </w:tcPr>
          <w:p w:rsidR="0003208F" w:rsidRDefault="000939F3">
            <w:pPr>
              <w:widowControl/>
              <w:adjustRightInd w:val="0"/>
              <w:snapToGrid w:val="0"/>
              <w:jc w:val="center"/>
              <w:rPr>
                <w:rFonts w:ascii="宋体" w:hAnsi="宋体"/>
                <w:color w:val="333333"/>
                <w:sz w:val="28"/>
                <w:szCs w:val="28"/>
              </w:rPr>
            </w:pPr>
            <w:r>
              <w:rPr>
                <w:rFonts w:ascii="宋体" w:hAnsi="宋体" w:hint="eastAsia"/>
                <w:color w:val="333333"/>
                <w:sz w:val="28"/>
                <w:szCs w:val="28"/>
              </w:rPr>
              <w:t>全日制</w:t>
            </w:r>
          </w:p>
        </w:tc>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1</w:t>
            </w:r>
          </w:p>
        </w:tc>
      </w:tr>
      <w:tr w:rsidR="0003208F">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055105</w:t>
            </w:r>
          </w:p>
        </w:tc>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日语笔译</w:t>
            </w:r>
          </w:p>
        </w:tc>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专业型</w:t>
            </w:r>
          </w:p>
        </w:tc>
        <w:tc>
          <w:tcPr>
            <w:tcW w:w="0" w:type="auto"/>
            <w:vAlign w:val="center"/>
          </w:tcPr>
          <w:p w:rsidR="0003208F" w:rsidRDefault="000939F3">
            <w:pPr>
              <w:widowControl/>
              <w:adjustRightInd w:val="0"/>
              <w:snapToGrid w:val="0"/>
              <w:jc w:val="center"/>
              <w:rPr>
                <w:rFonts w:ascii="宋体" w:hAnsi="宋体"/>
                <w:color w:val="333333"/>
                <w:sz w:val="28"/>
                <w:szCs w:val="28"/>
              </w:rPr>
            </w:pPr>
            <w:r>
              <w:rPr>
                <w:rFonts w:ascii="宋体" w:hAnsi="宋体" w:hint="eastAsia"/>
                <w:color w:val="333333"/>
                <w:sz w:val="28"/>
                <w:szCs w:val="28"/>
              </w:rPr>
              <w:t>全日制</w:t>
            </w:r>
          </w:p>
        </w:tc>
        <w:tc>
          <w:tcPr>
            <w:tcW w:w="0" w:type="auto"/>
            <w:vAlign w:val="center"/>
          </w:tcPr>
          <w:p w:rsidR="0003208F" w:rsidRDefault="000939F3">
            <w:pPr>
              <w:pStyle w:val="a5"/>
              <w:widowControl/>
              <w:adjustRightInd w:val="0"/>
              <w:snapToGrid w:val="0"/>
              <w:jc w:val="center"/>
              <w:rPr>
                <w:rFonts w:ascii="宋体" w:hAnsi="宋体"/>
                <w:color w:val="333333"/>
                <w:sz w:val="28"/>
                <w:szCs w:val="28"/>
              </w:rPr>
            </w:pPr>
            <w:r>
              <w:rPr>
                <w:rFonts w:ascii="宋体" w:hAnsi="宋体" w:hint="eastAsia"/>
                <w:color w:val="333333"/>
                <w:sz w:val="28"/>
                <w:szCs w:val="28"/>
              </w:rPr>
              <w:t>3</w:t>
            </w:r>
          </w:p>
        </w:tc>
      </w:tr>
    </w:tbl>
    <w:p w:rsidR="0003208F" w:rsidRDefault="0003208F"/>
    <w:p w:rsidR="0003208F" w:rsidRDefault="000939F3" w:rsidP="00BE739D">
      <w:pPr>
        <w:spacing w:afterLines="50"/>
        <w:rPr>
          <w:rFonts w:ascii="宋体" w:eastAsia="宋体" w:hAnsi="宋体"/>
          <w:b/>
          <w:sz w:val="24"/>
        </w:rPr>
      </w:pPr>
      <w:r>
        <w:rPr>
          <w:rFonts w:ascii="宋体" w:eastAsia="宋体" w:hAnsi="宋体" w:hint="eastAsia"/>
          <w:b/>
          <w:sz w:val="24"/>
        </w:rPr>
        <w:t>二、调剂条件</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1.</w:t>
      </w:r>
      <w:r>
        <w:rPr>
          <w:rFonts w:ascii="宋体" w:eastAsia="宋体" w:hAnsi="宋体"/>
          <w:sz w:val="24"/>
        </w:rPr>
        <w:t>符合招生简章中规定的调入专业的报考条件。</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2.</w:t>
      </w:r>
      <w:r>
        <w:rPr>
          <w:rFonts w:ascii="宋体" w:eastAsia="宋体" w:hAnsi="宋体"/>
          <w:sz w:val="24"/>
        </w:rPr>
        <w:t>调剂考生初试成绩须符合第一志愿报考专业在调入地区的全国初试成绩基本要求，并符合调入专业的报考条件。</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hint="eastAsia"/>
          <w:sz w:val="24"/>
        </w:rPr>
        <w:t>3.</w:t>
      </w:r>
      <w:r>
        <w:rPr>
          <w:rFonts w:ascii="宋体" w:eastAsia="宋体" w:hAnsi="宋体"/>
          <w:sz w:val="24"/>
        </w:rPr>
        <w:t>调剂考生第一志愿专业与调入专业相同相近，或初试科目与调入专业初试科目相同相近</w:t>
      </w:r>
      <w:r w:rsidR="00BE739D">
        <w:rPr>
          <w:rFonts w:ascii="宋体" w:eastAsia="宋体" w:hAnsi="宋体"/>
          <w:sz w:val="24"/>
        </w:rPr>
        <w:t>，</w:t>
      </w:r>
      <w:r>
        <w:rPr>
          <w:rFonts w:ascii="宋体" w:eastAsia="宋体" w:hAnsi="宋体"/>
          <w:sz w:val="24"/>
        </w:rPr>
        <w:t>不跨一级学科门类调剂。</w:t>
      </w:r>
    </w:p>
    <w:p w:rsidR="0003208F" w:rsidRDefault="000939F3" w:rsidP="00BE739D">
      <w:pPr>
        <w:spacing w:afterLines="50"/>
        <w:rPr>
          <w:rFonts w:ascii="宋体" w:eastAsia="宋体" w:hAnsi="宋体"/>
          <w:b/>
          <w:sz w:val="24"/>
        </w:rPr>
      </w:pPr>
      <w:r>
        <w:rPr>
          <w:rFonts w:ascii="宋体" w:eastAsia="宋体" w:hAnsi="宋体" w:hint="eastAsia"/>
          <w:b/>
          <w:sz w:val="24"/>
        </w:rPr>
        <w:t>三、调剂流程</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1.</w:t>
      </w:r>
      <w:r>
        <w:rPr>
          <w:rFonts w:ascii="宋体" w:eastAsia="宋体" w:hAnsi="宋体" w:hint="eastAsia"/>
          <w:sz w:val="24"/>
        </w:rPr>
        <w:t>学院</w:t>
      </w:r>
      <w:r>
        <w:rPr>
          <w:rFonts w:ascii="宋体" w:eastAsia="宋体" w:hAnsi="宋体"/>
          <w:sz w:val="24"/>
        </w:rPr>
        <w:t>发布调剂公告。</w:t>
      </w:r>
      <w:r>
        <w:rPr>
          <w:rFonts w:ascii="宋体" w:eastAsia="宋体" w:hAnsi="宋体" w:hint="eastAsia"/>
          <w:sz w:val="24"/>
        </w:rPr>
        <w:t>学院</w:t>
      </w:r>
      <w:r>
        <w:rPr>
          <w:rFonts w:ascii="宋体" w:eastAsia="宋体" w:hAnsi="宋体"/>
          <w:sz w:val="24"/>
        </w:rPr>
        <w:t>在网站公布调剂专业、调剂名额、调剂条件、调剂程序及联系方式等，并在教育部调剂系统设置调剂专业、名额及条件。</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2.</w:t>
      </w:r>
      <w:r>
        <w:rPr>
          <w:rFonts w:ascii="宋体" w:eastAsia="宋体" w:hAnsi="宋体"/>
          <w:sz w:val="24"/>
        </w:rPr>
        <w:t>考生填报调剂信息。符合调剂条件的考生在中国研究生招生信息网调剂系统（</w:t>
      </w:r>
      <w:r>
        <w:rPr>
          <w:rFonts w:ascii="宋体" w:eastAsia="宋体" w:hAnsi="宋体"/>
          <w:sz w:val="24"/>
        </w:rPr>
        <w:t>http://yz.chsi.com.cn/yztj/</w:t>
      </w:r>
      <w:r>
        <w:rPr>
          <w:rFonts w:ascii="宋体" w:eastAsia="宋体" w:hAnsi="宋体"/>
          <w:sz w:val="24"/>
        </w:rPr>
        <w:t>）中按要求填报调剂志愿。</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3.</w:t>
      </w:r>
      <w:r>
        <w:rPr>
          <w:rFonts w:ascii="宋体" w:eastAsia="宋体" w:hAnsi="宋体" w:hint="eastAsia"/>
          <w:sz w:val="24"/>
        </w:rPr>
        <w:t>学院</w:t>
      </w:r>
      <w:r>
        <w:rPr>
          <w:rFonts w:ascii="宋体" w:eastAsia="宋体" w:hAnsi="宋体"/>
          <w:sz w:val="24"/>
        </w:rPr>
        <w:t>审核调剂。</w:t>
      </w:r>
      <w:r>
        <w:rPr>
          <w:rFonts w:ascii="宋体" w:eastAsia="宋体" w:hAnsi="宋体" w:hint="eastAsia"/>
          <w:sz w:val="24"/>
        </w:rPr>
        <w:t>学院</w:t>
      </w:r>
      <w:r>
        <w:rPr>
          <w:rFonts w:ascii="宋体" w:eastAsia="宋体" w:hAnsi="宋体"/>
          <w:sz w:val="24"/>
        </w:rPr>
        <w:t>按调剂条件择优挑选考生并确认考生调剂意愿，</w:t>
      </w:r>
      <w:proofErr w:type="gramStart"/>
      <w:r>
        <w:rPr>
          <w:rFonts w:ascii="宋体" w:eastAsia="宋体" w:hAnsi="宋体" w:hint="eastAsia"/>
          <w:sz w:val="24"/>
        </w:rPr>
        <w:t>向</w:t>
      </w:r>
      <w:r>
        <w:rPr>
          <w:rFonts w:ascii="宋体" w:eastAsia="宋体" w:hAnsi="宋体"/>
          <w:sz w:val="24"/>
        </w:rPr>
        <w:t>同意</w:t>
      </w:r>
      <w:proofErr w:type="gramEnd"/>
      <w:r>
        <w:rPr>
          <w:rFonts w:ascii="宋体" w:eastAsia="宋体" w:hAnsi="宋体"/>
          <w:sz w:val="24"/>
        </w:rPr>
        <w:t>调剂的合格考生发送复试通知。</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4.</w:t>
      </w:r>
      <w:r>
        <w:rPr>
          <w:rFonts w:ascii="宋体" w:eastAsia="宋体" w:hAnsi="宋体"/>
          <w:sz w:val="24"/>
        </w:rPr>
        <w:t>考生接受复试通知。考生须在规定时间内接受复试通知，否则视为放弃复试资格。</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sz w:val="24"/>
        </w:rPr>
        <w:t>5.</w:t>
      </w:r>
      <w:r>
        <w:rPr>
          <w:rFonts w:ascii="宋体" w:eastAsia="宋体" w:hAnsi="宋体"/>
          <w:sz w:val="24"/>
        </w:rPr>
        <w:t>考生复试。考生按</w:t>
      </w:r>
      <w:bookmarkStart w:id="0" w:name="_GoBack"/>
      <w:bookmarkEnd w:id="0"/>
      <w:r>
        <w:rPr>
          <w:rFonts w:ascii="宋体" w:eastAsia="宋体" w:hAnsi="宋体"/>
          <w:sz w:val="24"/>
        </w:rPr>
        <w:t>复试通知要求进行复试。</w:t>
      </w:r>
    </w:p>
    <w:p w:rsidR="0003208F" w:rsidRDefault="000939F3" w:rsidP="00BE739D">
      <w:pPr>
        <w:spacing w:afterLines="50" w:line="360" w:lineRule="auto"/>
        <w:rPr>
          <w:rFonts w:ascii="宋体" w:eastAsia="宋体" w:hAnsi="宋体"/>
          <w:b/>
          <w:sz w:val="24"/>
        </w:rPr>
      </w:pPr>
      <w:r>
        <w:rPr>
          <w:rFonts w:ascii="宋体" w:eastAsia="宋体" w:hAnsi="宋体" w:hint="eastAsia"/>
          <w:b/>
          <w:sz w:val="24"/>
        </w:rPr>
        <w:t>四、调剂系统开放时间</w:t>
      </w:r>
    </w:p>
    <w:p w:rsidR="0003208F" w:rsidRDefault="000939F3" w:rsidP="00BE739D">
      <w:pPr>
        <w:spacing w:afterLines="50" w:line="360" w:lineRule="auto"/>
        <w:ind w:firstLineChars="100" w:firstLine="280"/>
        <w:rPr>
          <w:rFonts w:ascii="宋体" w:eastAsia="宋体" w:hAnsi="宋体"/>
          <w:b/>
          <w:sz w:val="24"/>
        </w:rPr>
      </w:pPr>
      <w:r>
        <w:rPr>
          <w:rFonts w:ascii="宋体" w:hAnsi="宋体" w:hint="eastAsia"/>
          <w:sz w:val="28"/>
          <w:szCs w:val="28"/>
        </w:rPr>
        <w:lastRenderedPageBreak/>
        <w:t>202</w:t>
      </w:r>
      <w:r>
        <w:rPr>
          <w:rFonts w:ascii="宋体" w:hAnsi="宋体" w:hint="eastAsia"/>
          <w:sz w:val="28"/>
          <w:szCs w:val="28"/>
        </w:rPr>
        <w:t>4</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8</w:t>
      </w:r>
      <w:r>
        <w:rPr>
          <w:rFonts w:ascii="宋体" w:hAnsi="宋体" w:hint="eastAsia"/>
          <w:sz w:val="28"/>
          <w:szCs w:val="28"/>
        </w:rPr>
        <w:t>日</w:t>
      </w:r>
      <w:r>
        <w:rPr>
          <w:rFonts w:ascii="宋体" w:hAnsi="宋体" w:hint="eastAsia"/>
          <w:sz w:val="28"/>
          <w:szCs w:val="28"/>
        </w:rPr>
        <w:t>0:00</w:t>
      </w:r>
      <w:r>
        <w:rPr>
          <w:rFonts w:ascii="宋体" w:hAnsi="宋体" w:hint="eastAsia"/>
          <w:sz w:val="28"/>
          <w:szCs w:val="28"/>
        </w:rPr>
        <w:t>开通</w:t>
      </w:r>
    </w:p>
    <w:p w:rsidR="0003208F" w:rsidRDefault="000939F3" w:rsidP="00BE739D">
      <w:pPr>
        <w:spacing w:afterLines="50" w:line="360" w:lineRule="auto"/>
        <w:rPr>
          <w:rFonts w:ascii="宋体" w:eastAsia="宋体" w:hAnsi="宋体"/>
          <w:b/>
          <w:sz w:val="24"/>
        </w:rPr>
      </w:pPr>
      <w:r>
        <w:rPr>
          <w:rFonts w:ascii="宋体" w:eastAsia="宋体" w:hAnsi="宋体" w:hint="eastAsia"/>
          <w:b/>
          <w:sz w:val="24"/>
        </w:rPr>
        <w:t>五、复试录取工作办法</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hint="eastAsia"/>
          <w:sz w:val="24"/>
        </w:rPr>
        <w:t>见学院复试录取工作办法</w:t>
      </w:r>
    </w:p>
    <w:p w:rsidR="0003208F" w:rsidRDefault="000939F3" w:rsidP="00BE739D">
      <w:pPr>
        <w:spacing w:afterLines="50" w:line="360" w:lineRule="auto"/>
        <w:rPr>
          <w:rFonts w:ascii="宋体" w:eastAsia="宋体" w:hAnsi="宋体"/>
          <w:b/>
          <w:sz w:val="24"/>
        </w:rPr>
      </w:pPr>
      <w:r>
        <w:rPr>
          <w:rFonts w:ascii="宋体" w:eastAsia="宋体" w:hAnsi="宋体" w:hint="eastAsia"/>
          <w:b/>
          <w:sz w:val="24"/>
        </w:rPr>
        <w:t>六、咨询及申诉联系方式</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hint="eastAsia"/>
          <w:sz w:val="24"/>
        </w:rPr>
        <w:t>学院联系方式：</w:t>
      </w:r>
      <w:r>
        <w:rPr>
          <w:rFonts w:ascii="宋体" w:eastAsia="宋体" w:hAnsi="宋体" w:hint="eastAsia"/>
          <w:sz w:val="24"/>
        </w:rPr>
        <w:t>0791-88120315</w:t>
      </w:r>
    </w:p>
    <w:p w:rsidR="0003208F" w:rsidRDefault="000939F3" w:rsidP="00BE739D">
      <w:pPr>
        <w:spacing w:afterLines="50" w:line="360" w:lineRule="auto"/>
        <w:ind w:firstLineChars="177" w:firstLine="425"/>
        <w:rPr>
          <w:rFonts w:ascii="宋体" w:eastAsia="宋体" w:hAnsi="宋体"/>
          <w:sz w:val="24"/>
        </w:rPr>
      </w:pPr>
      <w:r>
        <w:rPr>
          <w:rFonts w:ascii="宋体" w:eastAsia="宋体" w:hAnsi="宋体" w:hint="eastAsia"/>
          <w:sz w:val="24"/>
        </w:rPr>
        <w:t>研究生院联系方式：</w:t>
      </w:r>
      <w:r>
        <w:rPr>
          <w:rFonts w:ascii="宋体" w:eastAsia="宋体" w:hAnsi="宋体" w:hint="eastAsia"/>
          <w:sz w:val="24"/>
        </w:rPr>
        <w:t>0</w:t>
      </w:r>
      <w:r>
        <w:rPr>
          <w:rFonts w:ascii="宋体" w:eastAsia="宋体" w:hAnsi="宋体"/>
          <w:sz w:val="24"/>
        </w:rPr>
        <w:t>791-88120608</w:t>
      </w:r>
    </w:p>
    <w:p w:rsidR="0003208F" w:rsidRPr="00BE739D" w:rsidRDefault="0003208F" w:rsidP="00BE739D">
      <w:pPr>
        <w:spacing w:afterLines="50" w:line="360" w:lineRule="auto"/>
        <w:rPr>
          <w:rFonts w:ascii="宋体" w:eastAsia="宋体" w:hAnsi="宋体"/>
          <w:b/>
          <w:sz w:val="24"/>
        </w:rPr>
      </w:pPr>
    </w:p>
    <w:p w:rsidR="0003208F" w:rsidRDefault="0003208F" w:rsidP="00BE739D">
      <w:pPr>
        <w:spacing w:afterLines="50" w:line="360" w:lineRule="auto"/>
        <w:rPr>
          <w:rFonts w:ascii="宋体" w:eastAsia="宋体" w:hAnsi="宋体"/>
          <w:b/>
          <w:sz w:val="24"/>
        </w:rPr>
      </w:pPr>
    </w:p>
    <w:p w:rsidR="0003208F" w:rsidRDefault="000939F3" w:rsidP="00BE739D">
      <w:pPr>
        <w:spacing w:afterLines="50" w:line="360" w:lineRule="auto"/>
        <w:ind w:firstLineChars="2882" w:firstLine="6944"/>
        <w:rPr>
          <w:rFonts w:ascii="宋体" w:eastAsia="宋体" w:hAnsi="宋体"/>
          <w:b/>
          <w:sz w:val="24"/>
        </w:rPr>
      </w:pPr>
      <w:r>
        <w:rPr>
          <w:rFonts w:ascii="宋体" w:eastAsia="宋体" w:hAnsi="宋体"/>
          <w:b/>
          <w:sz w:val="24"/>
        </w:rPr>
        <w:t xml:space="preserve"> </w:t>
      </w:r>
      <w:r>
        <w:rPr>
          <w:rFonts w:ascii="宋体" w:eastAsia="宋体" w:hAnsi="宋体" w:hint="eastAsia"/>
          <w:b/>
          <w:sz w:val="24"/>
        </w:rPr>
        <w:t>外国语</w:t>
      </w:r>
      <w:r>
        <w:rPr>
          <w:rFonts w:ascii="宋体" w:eastAsia="宋体" w:hAnsi="宋体" w:hint="eastAsia"/>
          <w:b/>
          <w:sz w:val="24"/>
        </w:rPr>
        <w:t>学院</w:t>
      </w:r>
    </w:p>
    <w:p w:rsidR="0003208F" w:rsidRDefault="000939F3" w:rsidP="00BE739D">
      <w:pPr>
        <w:spacing w:afterLines="50" w:line="360" w:lineRule="auto"/>
        <w:jc w:val="right"/>
        <w:rPr>
          <w:rFonts w:ascii="宋体" w:eastAsia="宋体" w:hAnsi="宋体"/>
          <w:b/>
          <w:sz w:val="24"/>
        </w:rPr>
      </w:pPr>
      <w:r>
        <w:rPr>
          <w:rFonts w:ascii="宋体" w:eastAsia="宋体" w:hAnsi="宋体" w:hint="eastAsia"/>
          <w:b/>
          <w:sz w:val="24"/>
        </w:rPr>
        <w:t>2024</w:t>
      </w:r>
      <w:r>
        <w:rPr>
          <w:rFonts w:ascii="宋体" w:eastAsia="宋体" w:hAnsi="宋体" w:hint="eastAsia"/>
          <w:b/>
          <w:sz w:val="24"/>
        </w:rPr>
        <w:t>年</w:t>
      </w:r>
      <w:r>
        <w:rPr>
          <w:rFonts w:ascii="宋体" w:eastAsia="宋体" w:hAnsi="宋体" w:hint="eastAsia"/>
          <w:b/>
          <w:sz w:val="24"/>
        </w:rPr>
        <w:t>4</w:t>
      </w:r>
      <w:r>
        <w:rPr>
          <w:rFonts w:ascii="宋体" w:eastAsia="宋体" w:hAnsi="宋体" w:hint="eastAsia"/>
          <w:b/>
          <w:sz w:val="24"/>
        </w:rPr>
        <w:t>月</w:t>
      </w:r>
      <w:r>
        <w:rPr>
          <w:rFonts w:ascii="宋体" w:eastAsia="宋体" w:hAnsi="宋体" w:hint="eastAsia"/>
          <w:b/>
          <w:sz w:val="24"/>
        </w:rPr>
        <w:t xml:space="preserve"> </w:t>
      </w:r>
      <w:r>
        <w:rPr>
          <w:rFonts w:ascii="宋体" w:eastAsia="宋体" w:hAnsi="宋体" w:hint="eastAsia"/>
          <w:b/>
          <w:sz w:val="24"/>
        </w:rPr>
        <w:t>4</w:t>
      </w:r>
      <w:r>
        <w:rPr>
          <w:rFonts w:ascii="宋体" w:eastAsia="宋体" w:hAnsi="宋体"/>
          <w:b/>
          <w:sz w:val="24"/>
        </w:rPr>
        <w:t xml:space="preserve"> </w:t>
      </w:r>
      <w:r>
        <w:rPr>
          <w:rFonts w:ascii="宋体" w:eastAsia="宋体" w:hAnsi="宋体" w:hint="eastAsia"/>
          <w:b/>
          <w:sz w:val="24"/>
        </w:rPr>
        <w:t>日</w:t>
      </w:r>
    </w:p>
    <w:p w:rsidR="0003208F" w:rsidRDefault="0003208F" w:rsidP="00BE739D">
      <w:pPr>
        <w:spacing w:afterLines="50" w:line="360" w:lineRule="auto"/>
        <w:ind w:firstLineChars="2882" w:firstLine="6944"/>
        <w:rPr>
          <w:rFonts w:ascii="宋体" w:eastAsia="宋体" w:hAnsi="宋体"/>
          <w:b/>
          <w:sz w:val="24"/>
        </w:rPr>
      </w:pPr>
    </w:p>
    <w:p w:rsidR="0003208F" w:rsidRDefault="0003208F" w:rsidP="00BE739D">
      <w:pPr>
        <w:spacing w:afterLines="50" w:line="360" w:lineRule="auto"/>
        <w:ind w:firstLineChars="2882" w:firstLine="9258"/>
        <w:rPr>
          <w:rFonts w:ascii="宋体" w:eastAsia="宋体" w:hAnsi="宋体"/>
          <w:b/>
          <w:sz w:val="32"/>
        </w:rPr>
      </w:pPr>
    </w:p>
    <w:sectPr w:rsidR="0003208F" w:rsidSect="000320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F3" w:rsidRDefault="000939F3" w:rsidP="00BE739D">
      <w:r>
        <w:separator/>
      </w:r>
    </w:p>
  </w:endnote>
  <w:endnote w:type="continuationSeparator" w:id="0">
    <w:p w:rsidR="000939F3" w:rsidRDefault="000939F3" w:rsidP="00BE739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F3" w:rsidRDefault="000939F3" w:rsidP="00BE739D">
      <w:r>
        <w:separator/>
      </w:r>
    </w:p>
  </w:footnote>
  <w:footnote w:type="continuationSeparator" w:id="0">
    <w:p w:rsidR="000939F3" w:rsidRDefault="000939F3" w:rsidP="00BE7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JiOTYwYmYzZGVmMTg4NjVhZmRjODJiMDBjZmRlYzEifQ=="/>
  </w:docVars>
  <w:rsids>
    <w:rsidRoot w:val="006D33B9"/>
    <w:rsid w:val="00021B39"/>
    <w:rsid w:val="0003208F"/>
    <w:rsid w:val="00041BB9"/>
    <w:rsid w:val="0008273B"/>
    <w:rsid w:val="000939F3"/>
    <w:rsid w:val="000F2D81"/>
    <w:rsid w:val="002704C0"/>
    <w:rsid w:val="00340016"/>
    <w:rsid w:val="003733A4"/>
    <w:rsid w:val="003F05B9"/>
    <w:rsid w:val="00404222"/>
    <w:rsid w:val="00417FDE"/>
    <w:rsid w:val="00474A65"/>
    <w:rsid w:val="00545658"/>
    <w:rsid w:val="0054595E"/>
    <w:rsid w:val="00552CE3"/>
    <w:rsid w:val="005C1607"/>
    <w:rsid w:val="00623AFC"/>
    <w:rsid w:val="0069677A"/>
    <w:rsid w:val="006D33B9"/>
    <w:rsid w:val="006F1231"/>
    <w:rsid w:val="007F24DF"/>
    <w:rsid w:val="00867437"/>
    <w:rsid w:val="008F54A3"/>
    <w:rsid w:val="0099048B"/>
    <w:rsid w:val="00994996"/>
    <w:rsid w:val="009D09C1"/>
    <w:rsid w:val="00AB5CC0"/>
    <w:rsid w:val="00BE739D"/>
    <w:rsid w:val="00C107CE"/>
    <w:rsid w:val="00CC6926"/>
    <w:rsid w:val="00D9270C"/>
    <w:rsid w:val="00E21A58"/>
    <w:rsid w:val="00E84EB1"/>
    <w:rsid w:val="00ED1F42"/>
    <w:rsid w:val="00F27552"/>
    <w:rsid w:val="00F942F1"/>
    <w:rsid w:val="00FA2CA4"/>
    <w:rsid w:val="3275133C"/>
    <w:rsid w:val="3F396E1F"/>
    <w:rsid w:val="7D165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3208F"/>
    <w:pPr>
      <w:tabs>
        <w:tab w:val="center" w:pos="4153"/>
        <w:tab w:val="right" w:pos="8306"/>
      </w:tabs>
      <w:snapToGrid w:val="0"/>
      <w:jc w:val="left"/>
    </w:pPr>
    <w:rPr>
      <w:sz w:val="18"/>
      <w:szCs w:val="18"/>
    </w:rPr>
  </w:style>
  <w:style w:type="paragraph" w:styleId="a4">
    <w:name w:val="header"/>
    <w:basedOn w:val="a"/>
    <w:link w:val="Char0"/>
    <w:uiPriority w:val="99"/>
    <w:unhideWhenUsed/>
    <w:rsid w:val="0003208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3208F"/>
    <w:pPr>
      <w:jc w:val="left"/>
    </w:pPr>
    <w:rPr>
      <w:rFonts w:ascii="Times New Roman" w:hAnsi="Times New Roman"/>
      <w:kern w:val="0"/>
      <w:sz w:val="24"/>
      <w:szCs w:val="20"/>
    </w:rPr>
  </w:style>
  <w:style w:type="table" w:styleId="a6">
    <w:name w:val="Table Grid"/>
    <w:basedOn w:val="a1"/>
    <w:uiPriority w:val="39"/>
    <w:rsid w:val="00032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03208F"/>
    <w:rPr>
      <w:sz w:val="18"/>
      <w:szCs w:val="18"/>
    </w:rPr>
  </w:style>
  <w:style w:type="character" w:customStyle="1" w:styleId="Char">
    <w:name w:val="页脚 Char"/>
    <w:basedOn w:val="a0"/>
    <w:link w:val="a3"/>
    <w:uiPriority w:val="99"/>
    <w:rsid w:val="000320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106</Words>
  <Characters>607</Characters>
  <Application>Microsoft Office Word</Application>
  <DocSecurity>0</DocSecurity>
  <Lines>5</Lines>
  <Paragraphs>1</Paragraphs>
  <ScaleCrop>false</ScaleCrop>
  <Company>P R C</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2024-04-03T07:30:00Z</dcterms:created>
  <dcterms:modified xsi:type="dcterms:W3CDTF">2024-04-07T10:21:00Z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58BA4169E2E34E8BA93AE201C7E0CFE5_12</vt:lpwstr>
  </property>
</Properties>
</file>